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78DB5" w14:textId="4B58E63D" w:rsidR="00286861" w:rsidRPr="00316326" w:rsidRDefault="00286861" w:rsidP="00286861">
      <w:pPr>
        <w:pStyle w:val="Title"/>
        <w:rPr>
          <w:rFonts w:asciiTheme="minorHAnsi" w:hAnsiTheme="minorHAnsi"/>
          <w:b/>
          <w:bCs/>
          <w:sz w:val="24"/>
          <w:szCs w:val="24"/>
        </w:rPr>
      </w:pPr>
      <w:r w:rsidRPr="00316326">
        <w:rPr>
          <w:rFonts w:asciiTheme="minorHAnsi" w:hAnsiTheme="minorHAnsi"/>
          <w:b/>
          <w:bCs/>
          <w:smallCaps/>
          <w:color w:val="0F4660"/>
          <w:w w:val="105"/>
          <w:sz w:val="32"/>
          <w:szCs w:val="32"/>
        </w:rPr>
        <w:t>Student</w:t>
      </w:r>
      <w:r w:rsidRPr="00316326">
        <w:rPr>
          <w:rFonts w:asciiTheme="minorHAnsi" w:hAnsiTheme="minorHAnsi"/>
          <w:b/>
          <w:bCs/>
          <w:smallCaps/>
          <w:color w:val="0F4660"/>
          <w:spacing w:val="24"/>
          <w:w w:val="105"/>
          <w:sz w:val="32"/>
          <w:szCs w:val="32"/>
        </w:rPr>
        <w:t xml:space="preserve"> </w:t>
      </w:r>
      <w:r w:rsidRPr="00316326">
        <w:rPr>
          <w:rFonts w:asciiTheme="minorHAnsi" w:hAnsiTheme="minorHAnsi"/>
          <w:b/>
          <w:bCs/>
          <w:smallCaps/>
          <w:color w:val="0F4660"/>
          <w:w w:val="105"/>
          <w:sz w:val="32"/>
          <w:szCs w:val="32"/>
        </w:rPr>
        <w:t>Access</w:t>
      </w:r>
      <w:r w:rsidRPr="00316326">
        <w:rPr>
          <w:rFonts w:asciiTheme="minorHAnsi" w:hAnsiTheme="minorHAnsi"/>
          <w:b/>
          <w:bCs/>
          <w:smallCaps/>
          <w:color w:val="0F4660"/>
          <w:spacing w:val="24"/>
          <w:w w:val="105"/>
          <w:sz w:val="32"/>
          <w:szCs w:val="32"/>
        </w:rPr>
        <w:t xml:space="preserve"> </w:t>
      </w:r>
      <w:r w:rsidRPr="00316326">
        <w:rPr>
          <w:rFonts w:asciiTheme="minorHAnsi" w:hAnsiTheme="minorHAnsi"/>
          <w:b/>
          <w:bCs/>
          <w:smallCaps/>
          <w:color w:val="0F4660"/>
          <w:w w:val="105"/>
          <w:sz w:val="32"/>
          <w:szCs w:val="32"/>
        </w:rPr>
        <w:t>Services</w:t>
      </w:r>
      <w:r w:rsidRPr="00316326">
        <w:rPr>
          <w:rFonts w:asciiTheme="minorHAnsi" w:hAnsiTheme="minorHAnsi"/>
          <w:b/>
          <w:bCs/>
          <w:smallCaps/>
          <w:color w:val="0F4660"/>
          <w:spacing w:val="25"/>
          <w:w w:val="105"/>
          <w:sz w:val="32"/>
          <w:szCs w:val="32"/>
        </w:rPr>
        <w:t xml:space="preserve"> </w:t>
      </w:r>
      <w:r w:rsidR="00316326" w:rsidRPr="00316326">
        <w:rPr>
          <w:rFonts w:asciiTheme="minorHAnsi" w:hAnsiTheme="minorHAnsi"/>
          <w:b/>
          <w:bCs/>
          <w:smallCaps/>
          <w:color w:val="0F4660"/>
          <w:spacing w:val="25"/>
          <w:w w:val="105"/>
          <w:sz w:val="32"/>
          <w:szCs w:val="32"/>
        </w:rPr>
        <w:t xml:space="preserve">Guidelines </w:t>
      </w:r>
      <w:r w:rsidR="00316326" w:rsidRPr="00316326">
        <w:rPr>
          <w:rFonts w:asciiTheme="minorHAnsi" w:hAnsiTheme="minorHAnsi"/>
          <w:b/>
          <w:bCs/>
          <w:smallCaps/>
          <w:color w:val="0F4660"/>
          <w:spacing w:val="25"/>
          <w:w w:val="105"/>
          <w:sz w:val="28"/>
          <w:szCs w:val="28"/>
        </w:rPr>
        <w:t xml:space="preserve">for </w:t>
      </w:r>
      <w:r w:rsidRPr="00316326">
        <w:rPr>
          <w:rFonts w:asciiTheme="minorHAnsi" w:hAnsiTheme="minorHAnsi"/>
          <w:b/>
          <w:bCs/>
          <w:smallCaps/>
          <w:color w:val="0F4660"/>
          <w:w w:val="105"/>
          <w:sz w:val="28"/>
          <w:szCs w:val="28"/>
        </w:rPr>
        <w:t>Documentation</w:t>
      </w:r>
      <w:r w:rsidR="00316326" w:rsidRPr="00316326">
        <w:rPr>
          <w:rFonts w:asciiTheme="minorHAnsi" w:hAnsiTheme="minorHAnsi"/>
          <w:b/>
          <w:bCs/>
          <w:smallCaps/>
          <w:color w:val="0F4660"/>
          <w:spacing w:val="-2"/>
          <w:w w:val="105"/>
          <w:sz w:val="28"/>
          <w:szCs w:val="28"/>
        </w:rPr>
        <w:t xml:space="preserve"> Letters</w:t>
      </w:r>
    </w:p>
    <w:p w14:paraId="31753ECE" w14:textId="220E3680" w:rsidR="00286861" w:rsidRPr="00286861" w:rsidRDefault="00286861" w:rsidP="00286861">
      <w:r w:rsidRPr="00286861">
        <w:t xml:space="preserve">If a student would like to request accommodations, due to a disability, WVC Student Access Services </w:t>
      </w:r>
      <w:r w:rsidRPr="00316326">
        <w:t>requests appropriate documentation to support the request.</w:t>
      </w:r>
      <w:r w:rsidRPr="00286861">
        <w:t xml:space="preserve"> </w:t>
      </w:r>
    </w:p>
    <w:p w14:paraId="79F742DE" w14:textId="77777777" w:rsidR="00286861" w:rsidRPr="00286861" w:rsidRDefault="00286861" w:rsidP="00286861">
      <w:r w:rsidRPr="00286861">
        <w:t xml:space="preserve">The process of determining student eligibility and appropriate accommodations is </w:t>
      </w:r>
      <w:r w:rsidRPr="00286861">
        <w:rPr>
          <w:i/>
          <w:iCs/>
        </w:rPr>
        <w:t>individualized</w:t>
      </w:r>
      <w:r w:rsidRPr="00286861">
        <w:t xml:space="preserve"> and </w:t>
      </w:r>
      <w:r w:rsidRPr="00286861">
        <w:rPr>
          <w:i/>
          <w:iCs/>
        </w:rPr>
        <w:t>interactive</w:t>
      </w:r>
      <w:r w:rsidRPr="00286861">
        <w:t xml:space="preserve">. In other words, we carefully review materials along with a student's application and the information a student shares during their appointment(s) with SAS staff. </w:t>
      </w:r>
    </w:p>
    <w:p w14:paraId="1DCD3D48" w14:textId="77777777" w:rsidR="00286861" w:rsidRPr="00316326" w:rsidRDefault="00286861" w:rsidP="00286861">
      <w:pPr>
        <w:pStyle w:val="Heading2"/>
        <w:rPr>
          <w:rFonts w:asciiTheme="minorHAnsi" w:hAnsiTheme="minorHAnsi"/>
          <w:b/>
          <w:bCs/>
          <w:sz w:val="28"/>
          <w:szCs w:val="28"/>
        </w:rPr>
      </w:pPr>
      <w:r w:rsidRPr="00316326">
        <w:rPr>
          <w:rFonts w:asciiTheme="minorHAnsi" w:hAnsiTheme="minorHAnsi"/>
          <w:b/>
          <w:bCs/>
          <w:sz w:val="28"/>
          <w:szCs w:val="28"/>
        </w:rPr>
        <w:t xml:space="preserve">Why Do We Ask For Documentation? </w:t>
      </w:r>
    </w:p>
    <w:p w14:paraId="65B4A5BB" w14:textId="77777777" w:rsidR="00286861" w:rsidRPr="00286861" w:rsidRDefault="00286861" w:rsidP="00286861">
      <w:pPr>
        <w:rPr>
          <w:u w:val="single"/>
        </w:rPr>
      </w:pPr>
      <w:r w:rsidRPr="00286861">
        <w:rPr>
          <w:u w:val="single"/>
        </w:rPr>
        <w:t xml:space="preserve">Documentation serves three purposes: </w:t>
      </w:r>
    </w:p>
    <w:p w14:paraId="2AD1DCA0" w14:textId="56C2AE1A" w:rsidR="00286861" w:rsidRPr="00316326" w:rsidRDefault="00286861" w:rsidP="00286861">
      <w:pPr>
        <w:pStyle w:val="ListParagraph"/>
        <w:numPr>
          <w:ilvl w:val="0"/>
          <w:numId w:val="2"/>
        </w:numPr>
      </w:pPr>
      <w:r w:rsidRPr="00316326">
        <w:t>To establish that the student can be considered a person with a disability, and is therefore eligible for protection against discrimination on the basis of disability.</w:t>
      </w:r>
    </w:p>
    <w:p w14:paraId="52647EA5" w14:textId="77777777" w:rsidR="00286861" w:rsidRPr="00316326" w:rsidRDefault="00286861" w:rsidP="00286861">
      <w:pPr>
        <w:pStyle w:val="ListParagraph"/>
        <w:numPr>
          <w:ilvl w:val="0"/>
          <w:numId w:val="2"/>
        </w:numPr>
      </w:pPr>
      <w:r w:rsidRPr="00316326">
        <w:t xml:space="preserve">To </w:t>
      </w:r>
      <w:r w:rsidRPr="000310DC">
        <w:rPr>
          <w:i/>
          <w:iCs/>
        </w:rPr>
        <w:t>supplement</w:t>
      </w:r>
      <w:r w:rsidRPr="00316326">
        <w:t xml:space="preserve"> information from the student regarding the impact of their disability.</w:t>
      </w:r>
    </w:p>
    <w:p w14:paraId="3CD54A55" w14:textId="18FA1622" w:rsidR="00286861" w:rsidRPr="00316326" w:rsidRDefault="00286861" w:rsidP="00286861">
      <w:pPr>
        <w:pStyle w:val="ListParagraph"/>
        <w:numPr>
          <w:ilvl w:val="0"/>
          <w:numId w:val="2"/>
        </w:numPr>
      </w:pPr>
      <w:r w:rsidRPr="00316326">
        <w:t>To inform the development of reasonable accommodations (auxiliary aids and services) designed to facilitate equal access to Wenatchee Valley College’s services and environments on an individualized basis.</w:t>
      </w:r>
    </w:p>
    <w:p w14:paraId="3577B059" w14:textId="252E8121" w:rsidR="00286861" w:rsidRPr="00316326" w:rsidRDefault="00316326" w:rsidP="00316326">
      <w:pPr>
        <w:pStyle w:val="Heading2"/>
        <w:rPr>
          <w:rFonts w:asciiTheme="minorHAnsi" w:hAnsiTheme="minorHAnsi"/>
          <w:b/>
          <w:bCs/>
          <w:sz w:val="28"/>
          <w:szCs w:val="28"/>
        </w:rPr>
      </w:pPr>
      <w:r w:rsidRPr="00316326">
        <w:rPr>
          <w:b/>
          <w:bCs/>
          <w:sz w:val="28"/>
          <w:szCs w:val="28"/>
        </w:rPr>
        <w:t>Guidelines for requesting a letter from a Qualified Individual</w:t>
      </w:r>
    </w:p>
    <w:p w14:paraId="2178F035" w14:textId="77777777" w:rsidR="00316326" w:rsidRDefault="00316326">
      <w:r>
        <w:t xml:space="preserve">Documentation may come in multiple forms. One possible form of documentation may be a letter from an individual qualified to diagnose and otherwise support said disability. </w:t>
      </w:r>
    </w:p>
    <w:p w14:paraId="412CA33A" w14:textId="77777777" w:rsidR="00316326" w:rsidRDefault="00316326">
      <w:r>
        <w:t xml:space="preserve">We look for several pieces of information in our Documentation Requirements. As such, the following guidelines may serve as a tool for professionals to support a thorough and descriptive letter. </w:t>
      </w:r>
    </w:p>
    <w:p w14:paraId="37E150D3" w14:textId="46AC6677" w:rsidR="002C3D4D" w:rsidRDefault="00316326">
      <w:r w:rsidRPr="002C3D4D">
        <w:rPr>
          <w:b/>
          <w:bCs/>
        </w:rPr>
        <w:t>Letters stating a diagnosis or providing generalized information</w:t>
      </w:r>
      <w:r>
        <w:t xml:space="preserve">, while protective of the student’s confidentiality, </w:t>
      </w:r>
      <w:r w:rsidRPr="002C3D4D">
        <w:rPr>
          <w:b/>
          <w:bCs/>
          <w:u w:val="single"/>
        </w:rPr>
        <w:t xml:space="preserve">are </w:t>
      </w:r>
      <w:r w:rsidRPr="001C3B25">
        <w:rPr>
          <w:b/>
          <w:bCs/>
          <w:i/>
          <w:iCs/>
          <w:u w:val="single"/>
        </w:rPr>
        <w:t xml:space="preserve">often </w:t>
      </w:r>
      <w:r w:rsidRPr="002C3D4D">
        <w:rPr>
          <w:b/>
          <w:bCs/>
          <w:u w:val="single"/>
        </w:rPr>
        <w:t>not sufficient</w:t>
      </w:r>
      <w:r>
        <w:t xml:space="preserve"> to support the student’s request for accommodations. </w:t>
      </w:r>
    </w:p>
    <w:p w14:paraId="611B75BF" w14:textId="31FA9330" w:rsidR="00E12FF9" w:rsidRDefault="00A63EF2">
      <w:r>
        <w:t>Instead, if you are requesting a letter, please request that the following information is included:</w:t>
      </w:r>
    </w:p>
    <w:p w14:paraId="54A79B11" w14:textId="1F723F4D" w:rsidR="00832170" w:rsidRDefault="00832170" w:rsidP="00832170">
      <w:pPr>
        <w:pStyle w:val="ListParagraph"/>
        <w:numPr>
          <w:ilvl w:val="0"/>
          <w:numId w:val="4"/>
        </w:numPr>
      </w:pPr>
      <w:r>
        <w:t>Statement regarding the qualified professional’s relationship with the student/patient</w:t>
      </w:r>
      <w:r w:rsidR="00B03318">
        <w:t>, including how long the student has been in their care.</w:t>
      </w:r>
    </w:p>
    <w:p w14:paraId="16E8A52D" w14:textId="394069A5" w:rsidR="00B03318" w:rsidRDefault="00B03318" w:rsidP="00832170">
      <w:pPr>
        <w:pStyle w:val="ListParagraph"/>
        <w:numPr>
          <w:ilvl w:val="0"/>
          <w:numId w:val="4"/>
        </w:numPr>
      </w:pPr>
      <w:r>
        <w:t>Specific diagnostic information: what diagnostic tools or criteria were used? What is the coding for the diagnosi</w:t>
      </w:r>
      <w:r w:rsidR="006E49FA">
        <w:t>s? If not diagnosed by the person writing the letter, how do they know of the diagnosis (e.g., student’s self-report, transferred records, etc.)</w:t>
      </w:r>
    </w:p>
    <w:p w14:paraId="626D3154" w14:textId="1FC060D7" w:rsidR="006E49FA" w:rsidRDefault="002410B1" w:rsidP="00832170">
      <w:pPr>
        <w:pStyle w:val="ListParagraph"/>
        <w:numPr>
          <w:ilvl w:val="0"/>
          <w:numId w:val="4"/>
        </w:numPr>
      </w:pPr>
      <w:r>
        <w:t xml:space="preserve">The current prognosis and treatment plan. </w:t>
      </w:r>
    </w:p>
    <w:p w14:paraId="3C1F0F55" w14:textId="27DEF342" w:rsidR="002410B1" w:rsidRDefault="00D62835" w:rsidP="00832170">
      <w:pPr>
        <w:pStyle w:val="ListParagraph"/>
        <w:numPr>
          <w:ilvl w:val="0"/>
          <w:numId w:val="4"/>
        </w:numPr>
      </w:pPr>
      <w:r>
        <w:t xml:space="preserve">The student/patient’s specific symptoms, as opposed to general symptoms present with this condition. How do these symptoms impact the student/patient’s </w:t>
      </w:r>
      <w:r w:rsidR="001D57DE">
        <w:t>life and/or academics?</w:t>
      </w:r>
    </w:p>
    <w:p w14:paraId="0316A3F6" w14:textId="7D7AD7FA" w:rsidR="001D57DE" w:rsidRDefault="001D57DE" w:rsidP="007E0001">
      <w:pPr>
        <w:pStyle w:val="ListParagraph"/>
        <w:numPr>
          <w:ilvl w:val="0"/>
          <w:numId w:val="4"/>
        </w:numPr>
      </w:pPr>
      <w:r>
        <w:lastRenderedPageBreak/>
        <w:t xml:space="preserve">Recommended accommodations are not required, but welcomed. </w:t>
      </w:r>
      <w:r w:rsidR="00CD237C">
        <w:t xml:space="preserve">Please note, recommendations are not guaranteed to be provided, as </w:t>
      </w:r>
      <w:r w:rsidR="007E0001">
        <w:t xml:space="preserve">Student Access services </w:t>
      </w:r>
      <w:r w:rsidR="00DE02B4">
        <w:t>is the final determining authority</w:t>
      </w:r>
      <w:r w:rsidR="00251443">
        <w:t xml:space="preserve"> of reasonable and appropriate accommodations.</w:t>
      </w:r>
    </w:p>
    <w:p w14:paraId="0E7325F3" w14:textId="3822EBE1" w:rsidR="00832170" w:rsidRDefault="00CD237C">
      <w:r w:rsidRPr="00531407">
        <w:rPr>
          <w:b/>
          <w:bCs/>
        </w:rPr>
        <w:t xml:space="preserve">The following example is provided for additional support. </w:t>
      </w:r>
      <w:r w:rsidRPr="00531407">
        <w:t xml:space="preserve">This is merely a suggested template. </w:t>
      </w:r>
      <w:r w:rsidR="005E6745" w:rsidRPr="00531407">
        <w:t xml:space="preserve">Qualified individuals may wish to provide additional or alternative information. </w:t>
      </w:r>
    </w:p>
    <w:p w14:paraId="6EACC1B8" w14:textId="5F6DBF86" w:rsidR="00286861" w:rsidRPr="00316326" w:rsidRDefault="00A0233E" w:rsidP="00197B66">
      <w:r>
        <w:t>[</w:t>
      </w:r>
      <w:r w:rsidR="00286861" w:rsidRPr="00A0233E">
        <w:rPr>
          <w:color w:val="215E99" w:themeColor="text2" w:themeTint="BF"/>
        </w:rPr>
        <w:t>Date</w:t>
      </w:r>
      <w:r>
        <w:t>]</w:t>
      </w:r>
    </w:p>
    <w:p w14:paraId="60704952" w14:textId="6DA79057" w:rsidR="00286861" w:rsidRPr="00316326" w:rsidRDefault="00286861" w:rsidP="00197B66">
      <w:r w:rsidRPr="00316326">
        <w:t>Patient Name:</w:t>
      </w:r>
    </w:p>
    <w:p w14:paraId="0A2E418B" w14:textId="6414F92B" w:rsidR="00286861" w:rsidRPr="00316326" w:rsidRDefault="00286861" w:rsidP="00197B66">
      <w:r w:rsidRPr="00316326">
        <w:t>DOB:</w:t>
      </w:r>
    </w:p>
    <w:p w14:paraId="4DBD073B" w14:textId="475B0139" w:rsidR="00197B66" w:rsidRPr="00316326" w:rsidRDefault="00B12068" w:rsidP="00197B66">
      <w:r w:rsidRPr="00316326">
        <w:t>It is my professional opinion that [</w:t>
      </w:r>
      <w:r w:rsidRPr="00A0233E">
        <w:rPr>
          <w:color w:val="215E99" w:themeColor="text2" w:themeTint="BF"/>
        </w:rPr>
        <w:t>patient</w:t>
      </w:r>
      <w:r w:rsidRPr="00316326">
        <w:t>] may benefit from academic accommodations, based on the diagnosis(es) of [</w:t>
      </w:r>
      <w:r w:rsidRPr="00A0233E">
        <w:rPr>
          <w:color w:val="215E99" w:themeColor="text2" w:themeTint="BF"/>
        </w:rPr>
        <w:t>diagnoses and corresponding codes, if relevant</w:t>
      </w:r>
      <w:r w:rsidRPr="00316326">
        <w:t>]. [</w:t>
      </w:r>
      <w:r w:rsidRPr="00A0233E">
        <w:rPr>
          <w:color w:val="215E99" w:themeColor="text2" w:themeTint="BF"/>
        </w:rPr>
        <w:t>Patient</w:t>
      </w:r>
      <w:r w:rsidRPr="00316326">
        <w:t>] has been in my care since [</w:t>
      </w:r>
      <w:r w:rsidRPr="00A0233E">
        <w:rPr>
          <w:color w:val="215E99" w:themeColor="text2" w:themeTint="BF"/>
        </w:rPr>
        <w:t>date</w:t>
      </w:r>
      <w:r w:rsidRPr="00316326">
        <w:t>] and was diagnosed by [</w:t>
      </w:r>
      <w:r w:rsidRPr="00A0233E">
        <w:rPr>
          <w:color w:val="215E99" w:themeColor="text2" w:themeTint="BF"/>
        </w:rPr>
        <w:t>diagnosing professional/self-report</w:t>
      </w:r>
      <w:r w:rsidR="00A0233E">
        <w:t>]</w:t>
      </w:r>
      <w:r w:rsidRPr="00316326">
        <w:t xml:space="preserve"> on </w:t>
      </w:r>
      <w:r w:rsidR="00A0233E">
        <w:t>[</w:t>
      </w:r>
      <w:r w:rsidRPr="00A0233E">
        <w:rPr>
          <w:color w:val="215E99" w:themeColor="text2" w:themeTint="BF"/>
        </w:rPr>
        <w:t>date</w:t>
      </w:r>
      <w:r w:rsidR="00A0233E">
        <w:t>]</w:t>
      </w:r>
      <w:r w:rsidRPr="00316326">
        <w:t xml:space="preserve"> using </w:t>
      </w:r>
      <w:r w:rsidR="00A0233E">
        <w:t>[</w:t>
      </w:r>
      <w:r w:rsidRPr="00A0233E">
        <w:rPr>
          <w:color w:val="215E99" w:themeColor="text2" w:themeTint="BF"/>
        </w:rPr>
        <w:t>criteria</w:t>
      </w:r>
      <w:r w:rsidRPr="00316326">
        <w:t>]. The prognosis of [</w:t>
      </w:r>
      <w:r w:rsidRPr="00A0233E">
        <w:rPr>
          <w:color w:val="215E99" w:themeColor="text2" w:themeTint="BF"/>
        </w:rPr>
        <w:t>disability/diagnosis</w:t>
      </w:r>
      <w:r w:rsidRPr="00316326">
        <w:t>] is [</w:t>
      </w:r>
      <w:r w:rsidRPr="00A0233E">
        <w:rPr>
          <w:color w:val="215E99" w:themeColor="text2" w:themeTint="BF"/>
        </w:rPr>
        <w:t>episodic/continuous</w:t>
      </w:r>
      <w:r w:rsidR="00286861" w:rsidRPr="00316326">
        <w:t xml:space="preserve">, </w:t>
      </w:r>
      <w:r w:rsidRPr="00A0233E">
        <w:rPr>
          <w:color w:val="215E99" w:themeColor="text2" w:themeTint="BF"/>
        </w:rPr>
        <w:t>permanent/temporary</w:t>
      </w:r>
      <w:r w:rsidR="00286861" w:rsidRPr="00A0233E">
        <w:rPr>
          <w:color w:val="215E99" w:themeColor="text2" w:themeTint="BF"/>
        </w:rPr>
        <w:t xml:space="preserve"> </w:t>
      </w:r>
      <w:r w:rsidR="00286861" w:rsidRPr="00A0233E">
        <w:rPr>
          <w:color w:val="77206D" w:themeColor="accent5" w:themeShade="BF"/>
        </w:rPr>
        <w:t>(if temp: please provide timeline for re-evaluation</w:t>
      </w:r>
      <w:r w:rsidR="00286861" w:rsidRPr="00316326">
        <w:t>)</w:t>
      </w:r>
      <w:r w:rsidRPr="00316326">
        <w:t>] and their symptoms include [</w:t>
      </w:r>
      <w:r w:rsidRPr="00A0233E">
        <w:rPr>
          <w:color w:val="215E99" w:themeColor="text2" w:themeTint="BF"/>
        </w:rPr>
        <w:t>list symptoms</w:t>
      </w:r>
      <w:r w:rsidRPr="00316326">
        <w:t xml:space="preserve">]. </w:t>
      </w:r>
      <w:r w:rsidR="00D55320">
        <w:t>These symptoms impact [</w:t>
      </w:r>
      <w:r w:rsidR="00D55320" w:rsidRPr="00A0233E">
        <w:rPr>
          <w:color w:val="215E99" w:themeColor="text2" w:themeTint="BF"/>
        </w:rPr>
        <w:t>Patient</w:t>
      </w:r>
      <w:r w:rsidR="00D55320">
        <w:t xml:space="preserve">] </w:t>
      </w:r>
      <w:r w:rsidR="00A0233E">
        <w:t>in the following ways: [</w:t>
      </w:r>
      <w:r w:rsidR="00A0233E" w:rsidRPr="00A0233E">
        <w:rPr>
          <w:color w:val="215E99" w:themeColor="text2" w:themeTint="BF"/>
        </w:rPr>
        <w:t>provide examples of impact</w:t>
      </w:r>
      <w:r w:rsidR="00A0233E">
        <w:t xml:space="preserve">]. </w:t>
      </w:r>
      <w:r w:rsidRPr="00316326">
        <w:t>The current plan of care includes [</w:t>
      </w:r>
      <w:r w:rsidRPr="00A0233E">
        <w:rPr>
          <w:color w:val="215E99" w:themeColor="text2" w:themeTint="BF"/>
        </w:rPr>
        <w:t>medication, therapy, or any other plan of care</w:t>
      </w:r>
      <w:r w:rsidRPr="00316326">
        <w:t>].</w:t>
      </w:r>
    </w:p>
    <w:p w14:paraId="5DA99E53" w14:textId="77777777" w:rsidR="00286861" w:rsidRPr="00316326" w:rsidRDefault="00286861" w:rsidP="00197B66">
      <w:r w:rsidRPr="00316326">
        <w:t>[</w:t>
      </w:r>
      <w:r w:rsidRPr="00A0233E">
        <w:rPr>
          <w:color w:val="77206D" w:themeColor="accent5" w:themeShade="BF"/>
        </w:rPr>
        <w:t>If comfortable doing so, you may provide recommendations for accommodations in higher education setting</w:t>
      </w:r>
      <w:r w:rsidRPr="00316326">
        <w:t>].</w:t>
      </w:r>
    </w:p>
    <w:p w14:paraId="4D54BD90" w14:textId="77777777" w:rsidR="00286861" w:rsidRPr="00316326" w:rsidRDefault="00286861" w:rsidP="00197B66">
      <w:r w:rsidRPr="00316326">
        <w:t xml:space="preserve">Sincerely, </w:t>
      </w:r>
    </w:p>
    <w:p w14:paraId="42F2CAD3" w14:textId="0D4DBBAF" w:rsidR="00286861" w:rsidRPr="00316326" w:rsidRDefault="00A0233E" w:rsidP="00197B66">
      <w:r>
        <w:t>[</w:t>
      </w:r>
      <w:r w:rsidR="00286861" w:rsidRPr="00A0233E">
        <w:rPr>
          <w:color w:val="215E99" w:themeColor="text2" w:themeTint="BF"/>
        </w:rPr>
        <w:t xml:space="preserve">Full Name, Credentials, </w:t>
      </w:r>
      <w:r w:rsidRPr="00A0233E">
        <w:rPr>
          <w:color w:val="215E99" w:themeColor="text2" w:themeTint="BF"/>
        </w:rPr>
        <w:t xml:space="preserve">&amp; </w:t>
      </w:r>
      <w:r w:rsidR="00286861" w:rsidRPr="00A0233E">
        <w:rPr>
          <w:color w:val="215E99" w:themeColor="text2" w:themeTint="BF"/>
        </w:rPr>
        <w:t>License #</w:t>
      </w:r>
      <w:r>
        <w:t>]</w:t>
      </w:r>
    </w:p>
    <w:p w14:paraId="1FB6735C" w14:textId="7C066A02" w:rsidR="00286861" w:rsidRPr="00316326" w:rsidRDefault="00A0233E" w:rsidP="00197B66">
      <w:r>
        <w:t>[</w:t>
      </w:r>
      <w:r w:rsidR="00286861" w:rsidRPr="00A0233E">
        <w:rPr>
          <w:color w:val="215E99" w:themeColor="text2" w:themeTint="BF"/>
        </w:rPr>
        <w:t>Contact Information</w:t>
      </w:r>
      <w:r>
        <w:t>]</w:t>
      </w:r>
    </w:p>
    <w:p w14:paraId="4EEAE523" w14:textId="73D68784" w:rsidR="00D819E5" w:rsidRDefault="00A0233E" w:rsidP="002F1CF8">
      <w:pPr>
        <w:pBdr>
          <w:bottom w:val="single" w:sz="12" w:space="1" w:color="auto"/>
        </w:pBdr>
      </w:pPr>
      <w:r>
        <w:t>[</w:t>
      </w:r>
      <w:r w:rsidR="00286861" w:rsidRPr="00A0233E">
        <w:rPr>
          <w:color w:val="215E99" w:themeColor="text2" w:themeTint="BF"/>
        </w:rPr>
        <w:t>Name/Location of practice</w:t>
      </w:r>
      <w:r>
        <w:t>]</w:t>
      </w:r>
      <w:r w:rsidR="00197B66" w:rsidRPr="00316326">
        <w:t xml:space="preserve"> </w:t>
      </w:r>
    </w:p>
    <w:p w14:paraId="535DA563" w14:textId="77777777" w:rsidR="00DE02B4" w:rsidRDefault="00DE02B4" w:rsidP="002F1CF8">
      <w:pPr>
        <w:pBdr>
          <w:bottom w:val="single" w:sz="12" w:space="1" w:color="auto"/>
        </w:pBdr>
      </w:pPr>
    </w:p>
    <w:p w14:paraId="5E4A8CAB" w14:textId="05BF61CF" w:rsidR="00D819E5" w:rsidRDefault="00D819E5" w:rsidP="002F1CF8">
      <w:r>
        <w:t>This letter may be returned to the student/patient directly or may be sent to Student Access Services at Wenatchee Valley College.</w:t>
      </w:r>
    </w:p>
    <w:p w14:paraId="252FF466" w14:textId="054FDA6F" w:rsidR="007E0001" w:rsidRDefault="007E0001" w:rsidP="002F1CF8">
      <w:r w:rsidRPr="00DE02B4">
        <w:rPr>
          <w:b/>
          <w:bCs/>
        </w:rPr>
        <w:t>Email:</w:t>
      </w:r>
      <w:r w:rsidR="00DE02B4" w:rsidRPr="00DE02B4">
        <w:rPr>
          <w:b/>
          <w:bCs/>
        </w:rPr>
        <w:tab/>
      </w:r>
      <w:r>
        <w:t xml:space="preserve"> </w:t>
      </w:r>
      <w:r w:rsidR="00DE02B4">
        <w:tab/>
      </w:r>
      <w:hyperlink r:id="rId7" w:history="1">
        <w:r w:rsidR="00DE02B4" w:rsidRPr="00817281">
          <w:rPr>
            <w:rStyle w:val="Hyperlink"/>
          </w:rPr>
          <w:t>sas@wvc.edu</w:t>
        </w:r>
      </w:hyperlink>
    </w:p>
    <w:p w14:paraId="5532E0B0" w14:textId="4D92151D" w:rsidR="007E0001" w:rsidRPr="00316326" w:rsidRDefault="007E0001" w:rsidP="002F1CF8">
      <w:r w:rsidRPr="00DE02B4">
        <w:rPr>
          <w:b/>
          <w:bCs/>
        </w:rPr>
        <w:t>Mailing:</w:t>
      </w:r>
      <w:r>
        <w:t xml:space="preserve"> </w:t>
      </w:r>
      <w:r w:rsidR="00DE02B4">
        <w:tab/>
      </w:r>
      <w:r>
        <w:t>Attn: Student Access Services</w:t>
      </w:r>
      <w:r>
        <w:br/>
      </w:r>
      <w:r>
        <w:tab/>
      </w:r>
      <w:r w:rsidR="00DE02B4">
        <w:tab/>
      </w:r>
      <w:r>
        <w:t>Wenatchee Valley College</w:t>
      </w:r>
      <w:r>
        <w:br/>
      </w:r>
      <w:r>
        <w:tab/>
      </w:r>
      <w:r w:rsidR="00DE02B4">
        <w:tab/>
      </w:r>
      <w:r>
        <w:t>1300 5</w:t>
      </w:r>
      <w:r w:rsidRPr="007E0001">
        <w:rPr>
          <w:vertAlign w:val="superscript"/>
        </w:rPr>
        <w:t>th</w:t>
      </w:r>
      <w:r>
        <w:t xml:space="preserve"> Street</w:t>
      </w:r>
      <w:r>
        <w:br/>
      </w:r>
      <w:r>
        <w:tab/>
      </w:r>
      <w:r w:rsidR="00DE02B4">
        <w:tab/>
      </w:r>
      <w:r>
        <w:t>Wenatchee, WA 98801</w:t>
      </w:r>
    </w:p>
    <w:sectPr w:rsidR="007E0001" w:rsidRPr="00316326" w:rsidSect="00DE02B4">
      <w:headerReference w:type="default" r:id="rId8"/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C69A4" w14:textId="77777777" w:rsidR="00383A85" w:rsidRDefault="00383A85" w:rsidP="00286861">
      <w:pPr>
        <w:spacing w:after="0" w:line="240" w:lineRule="auto"/>
      </w:pPr>
      <w:r>
        <w:separator/>
      </w:r>
    </w:p>
  </w:endnote>
  <w:endnote w:type="continuationSeparator" w:id="0">
    <w:p w14:paraId="2949EBAD" w14:textId="77777777" w:rsidR="00383A85" w:rsidRDefault="00383A85" w:rsidP="0028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9FE49" w14:textId="77777777" w:rsidR="00383A85" w:rsidRDefault="00383A85" w:rsidP="00286861">
      <w:pPr>
        <w:spacing w:after="0" w:line="240" w:lineRule="auto"/>
      </w:pPr>
      <w:r>
        <w:separator/>
      </w:r>
    </w:p>
  </w:footnote>
  <w:footnote w:type="continuationSeparator" w:id="0">
    <w:p w14:paraId="6888C334" w14:textId="77777777" w:rsidR="00383A85" w:rsidRDefault="00383A85" w:rsidP="00286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9419E" w14:textId="73A4D71C" w:rsidR="00286861" w:rsidRDefault="009560DE" w:rsidP="00286861">
    <w:pPr>
      <w:pStyle w:val="Header"/>
      <w:jc w:val="right"/>
    </w:pPr>
    <w:r>
      <w:rPr>
        <w:noProof/>
      </w:rPr>
      <w:drawing>
        <wp:inline distT="0" distB="0" distL="0" distR="0" wp14:anchorId="15DD3A58" wp14:editId="2F7AF90D">
          <wp:extent cx="3402824" cy="285750"/>
          <wp:effectExtent l="0" t="0" r="7620" b="0"/>
          <wp:docPr id="20218245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824561" name="Picture 20218245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1739" cy="287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742F6"/>
    <w:multiLevelType w:val="hybridMultilevel"/>
    <w:tmpl w:val="2F52E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45614"/>
    <w:multiLevelType w:val="hybridMultilevel"/>
    <w:tmpl w:val="538A3E0E"/>
    <w:lvl w:ilvl="0" w:tplc="6B26217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6057A"/>
    <w:multiLevelType w:val="hybridMultilevel"/>
    <w:tmpl w:val="9230BD48"/>
    <w:lvl w:ilvl="0" w:tplc="D4204D6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B7ACA"/>
    <w:multiLevelType w:val="hybridMultilevel"/>
    <w:tmpl w:val="E0D85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699267">
    <w:abstractNumId w:val="1"/>
  </w:num>
  <w:num w:numId="2" w16cid:durableId="1164854140">
    <w:abstractNumId w:val="0"/>
  </w:num>
  <w:num w:numId="3" w16cid:durableId="1961061652">
    <w:abstractNumId w:val="2"/>
  </w:num>
  <w:num w:numId="4" w16cid:durableId="1338386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66"/>
    <w:rsid w:val="000310DC"/>
    <w:rsid w:val="000A3AD4"/>
    <w:rsid w:val="00197B66"/>
    <w:rsid w:val="001C3B25"/>
    <w:rsid w:val="001D57DE"/>
    <w:rsid w:val="002410B1"/>
    <w:rsid w:val="00251443"/>
    <w:rsid w:val="00286861"/>
    <w:rsid w:val="002B12F5"/>
    <w:rsid w:val="002C3D4D"/>
    <w:rsid w:val="002F1CF8"/>
    <w:rsid w:val="00316326"/>
    <w:rsid w:val="00383A85"/>
    <w:rsid w:val="003A5C3A"/>
    <w:rsid w:val="00531407"/>
    <w:rsid w:val="00543A4E"/>
    <w:rsid w:val="005C3DF5"/>
    <w:rsid w:val="005D42C5"/>
    <w:rsid w:val="005E6745"/>
    <w:rsid w:val="006E49FA"/>
    <w:rsid w:val="00722C70"/>
    <w:rsid w:val="007A07DF"/>
    <w:rsid w:val="007E0001"/>
    <w:rsid w:val="00827E2E"/>
    <w:rsid w:val="00832170"/>
    <w:rsid w:val="008B63BD"/>
    <w:rsid w:val="008C01CB"/>
    <w:rsid w:val="009338EF"/>
    <w:rsid w:val="009373B0"/>
    <w:rsid w:val="009560DE"/>
    <w:rsid w:val="0096314A"/>
    <w:rsid w:val="00A0233E"/>
    <w:rsid w:val="00A63EF2"/>
    <w:rsid w:val="00B03318"/>
    <w:rsid w:val="00B12068"/>
    <w:rsid w:val="00B64686"/>
    <w:rsid w:val="00BC5E37"/>
    <w:rsid w:val="00C36150"/>
    <w:rsid w:val="00CD237C"/>
    <w:rsid w:val="00D3281B"/>
    <w:rsid w:val="00D55320"/>
    <w:rsid w:val="00D55E9E"/>
    <w:rsid w:val="00D62835"/>
    <w:rsid w:val="00D819E5"/>
    <w:rsid w:val="00DE02B4"/>
    <w:rsid w:val="00E12FF9"/>
    <w:rsid w:val="00EC6BCF"/>
    <w:rsid w:val="00F9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F4721"/>
  <w15:chartTrackingRefBased/>
  <w15:docId w15:val="{DEFD1583-FFFD-45A0-996D-D9D56657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7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7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7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B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B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B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B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97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97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B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B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B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B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B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B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7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7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7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7B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7B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7B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B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7B6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6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861"/>
  </w:style>
  <w:style w:type="paragraph" w:styleId="Footer">
    <w:name w:val="footer"/>
    <w:basedOn w:val="Normal"/>
    <w:link w:val="FooterChar"/>
    <w:uiPriority w:val="99"/>
    <w:unhideWhenUsed/>
    <w:rsid w:val="00286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861"/>
  </w:style>
  <w:style w:type="character" w:styleId="Hyperlink">
    <w:name w:val="Hyperlink"/>
    <w:basedOn w:val="DefaultParagraphFont"/>
    <w:uiPriority w:val="99"/>
    <w:unhideWhenUsed/>
    <w:rsid w:val="007E00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s@wv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Floyd</dc:creator>
  <cp:keywords/>
  <dc:description/>
  <cp:lastModifiedBy>Jenna Floyd</cp:lastModifiedBy>
  <cp:revision>2</cp:revision>
  <dcterms:created xsi:type="dcterms:W3CDTF">2025-01-13T18:59:00Z</dcterms:created>
  <dcterms:modified xsi:type="dcterms:W3CDTF">2025-01-13T18:59:00Z</dcterms:modified>
</cp:coreProperties>
</file>